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94C" w14:textId="7F7D6C1C" w:rsidR="00DA5EFF" w:rsidRP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bookmarkStart w:id="0" w:name="_Hlk153875917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Приложение N 8</w:t>
      </w:r>
    </w:p>
    <w:p w14:paraId="523CC39E" w14:textId="77777777" w:rsidR="00DA5EFF" w:rsidRP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к Инструкции по локализации</w:t>
      </w:r>
    </w:p>
    <w:p w14:paraId="00296848" w14:textId="77777777" w:rsidR="00DA5EFF" w:rsidRP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и ликвидации последствий аварий</w:t>
      </w:r>
    </w:p>
    <w:p w14:paraId="4F924A80" w14:textId="77777777" w:rsidR="00DA5EFF" w:rsidRP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на опасных производственных объектах,</w:t>
      </w:r>
    </w:p>
    <w:p w14:paraId="1FAB15BF" w14:textId="3A41011F" w:rsidR="00DA5EFF" w:rsidRPr="00DA5EFF" w:rsidRDefault="00DA5EFF" w:rsidP="00DA5EFF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на которых ведутся горные работы</w:t>
      </w:r>
    </w:p>
    <w:p w14:paraId="443B67C7" w14:textId="77777777" w:rsidR="00DA5EFF" w:rsidRDefault="00DA5EFF" w:rsidP="00DA5EFF">
      <w:pPr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4257CEE9" w14:textId="09A97007" w:rsidR="00DA5EFF" w:rsidRPr="00DA5EFF" w:rsidRDefault="00DA5EFF" w:rsidP="00DA5EFF">
      <w:pPr>
        <w:shd w:val="clear" w:color="auto" w:fill="FFFFFF"/>
        <w:spacing w:line="312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Локализация и тушение пожаров на опасных производственных объектах ведения подземных горных работ</w:t>
      </w:r>
    </w:p>
    <w:p w14:paraId="3DA99AEF" w14:textId="77777777" w:rsidR="00DA5EFF" w:rsidRPr="00DA5EFF" w:rsidRDefault="00DA5EFF" w:rsidP="00DA5EFF">
      <w:pPr>
        <w:shd w:val="clear" w:color="auto" w:fill="FFFFFF"/>
        <w:spacing w:line="312" w:lineRule="auto"/>
        <w:jc w:val="both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0A385E26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1. Тушение подземных пожаров осуществляется следующими способами:</w:t>
      </w:r>
    </w:p>
    <w:p w14:paraId="73D05F47" w14:textId="77777777" w:rsidR="00DA5EFF" w:rsidRPr="00DA5EFF" w:rsidRDefault="00DA5EFF" w:rsidP="00DA5EFF">
      <w:pPr>
        <w:pStyle w:val="a8"/>
        <w:numPr>
          <w:ilvl w:val="0"/>
          <w:numId w:val="73"/>
        </w:numPr>
        <w:shd w:val="clear" w:color="auto" w:fill="FFFFFF"/>
        <w:spacing w:line="312" w:lineRule="auto"/>
        <w:ind w:left="1418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активное тушение;</w:t>
      </w:r>
    </w:p>
    <w:p w14:paraId="1B56EF59" w14:textId="77777777" w:rsidR="00DA5EFF" w:rsidRPr="00DA5EFF" w:rsidRDefault="00DA5EFF" w:rsidP="00DA5EFF">
      <w:pPr>
        <w:pStyle w:val="a8"/>
        <w:numPr>
          <w:ilvl w:val="0"/>
          <w:numId w:val="73"/>
        </w:numPr>
        <w:shd w:val="clear" w:color="auto" w:fill="FFFFFF"/>
        <w:spacing w:line="312" w:lineRule="auto"/>
        <w:ind w:left="1418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изоляция горных выработок, в которых действует пожар (далее - изоляция пожара);</w:t>
      </w:r>
    </w:p>
    <w:p w14:paraId="4A384584" w14:textId="77777777" w:rsidR="00DA5EFF" w:rsidRPr="00DA5EFF" w:rsidRDefault="00DA5EFF" w:rsidP="00DA5EFF">
      <w:pPr>
        <w:pStyle w:val="a8"/>
        <w:numPr>
          <w:ilvl w:val="0"/>
          <w:numId w:val="73"/>
        </w:numPr>
        <w:shd w:val="clear" w:color="auto" w:fill="FFFFFF"/>
        <w:spacing w:line="312" w:lineRule="auto"/>
        <w:ind w:left="1418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комбинированный способ.</w:t>
      </w:r>
    </w:p>
    <w:p w14:paraId="17C6418B" w14:textId="77777777" w:rsidR="00DA5EFF" w:rsidRPr="00DA5EFF" w:rsidRDefault="00DA5EFF" w:rsidP="00DA5EFF">
      <w:pPr>
        <w:pStyle w:val="a8"/>
        <w:numPr>
          <w:ilvl w:val="0"/>
          <w:numId w:val="73"/>
        </w:numPr>
        <w:shd w:val="clear" w:color="auto" w:fill="FFFFFF"/>
        <w:spacing w:line="312" w:lineRule="auto"/>
        <w:ind w:left="1418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Комбинированный способ тушения пожара предусматривает изоляцию горных выработок и дальнейшее активное тушение пожара.</w:t>
      </w:r>
    </w:p>
    <w:p w14:paraId="243AC3EA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Тушение подземного пожара активным способом</w:t>
      </w:r>
    </w:p>
    <w:p w14:paraId="02177B36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2. Тушение подземного пожара активным способом применяется в случаях, когда имеется возможность подачи огнетушащих веществ непосредственно на очаг пожара.</w:t>
      </w:r>
    </w:p>
    <w:p w14:paraId="493AC2A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Тушение подземного пожара активным способом осуществляется:</w:t>
      </w:r>
    </w:p>
    <w:p w14:paraId="3C752EB8" w14:textId="77777777" w:rsidR="00DA5EFF" w:rsidRPr="00DA5EFF" w:rsidRDefault="00DA5EFF" w:rsidP="00DA5EFF">
      <w:pPr>
        <w:pStyle w:val="a8"/>
        <w:numPr>
          <w:ilvl w:val="0"/>
          <w:numId w:val="74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с присутствием людей в зоне действия пожара;</w:t>
      </w:r>
    </w:p>
    <w:p w14:paraId="42548D99" w14:textId="77777777" w:rsidR="00DA5EFF" w:rsidRPr="00DA5EFF" w:rsidRDefault="00DA5EFF" w:rsidP="00DA5EFF">
      <w:pPr>
        <w:pStyle w:val="a8"/>
        <w:numPr>
          <w:ilvl w:val="0"/>
          <w:numId w:val="74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без присутствия людей в зоне действия пожара (дистанционно).</w:t>
      </w:r>
    </w:p>
    <w:p w14:paraId="40C8ED8A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839613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3. Люди при активном способе тушения подземного пожара должны находиться со стороны, поступающей к пожару вентиляционной струи.</w:t>
      </w:r>
    </w:p>
    <w:p w14:paraId="40C7F9D4" w14:textId="04395EAE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Нахождение людей, занятых тушением пожара активным способом, в горных выработках с исходящей от пожара струей воздуха, допускается только в случаях, когда пожар находится вблизи выработок со свежей струей воздуха. Работы по его тушению следует проводить в соответствии с главой "Горноспасательные работы в подземных горных выработках в зоне высоких температур с непригодной для дыхания рудничной атмосферой" приложения N 6.</w:t>
      </w:r>
    </w:p>
    <w:p w14:paraId="5A0D7937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4. При тушении подземного пожара должны выполняться меры, предотвращающие обрушение (высыпание) горных пород и высыпание горящих масс. Обрушившаяся и выпущенная горная порода, и горящая масса проливаются водой.</w:t>
      </w:r>
    </w:p>
    <w:p w14:paraId="5E33CAA9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5. Тушение электрических кабелей и электрооборудования осуществляется после отключения электроэнергии. Электрические кабели и электрооборудование, находящиеся под напряжением, тушатся огнетушащими порошками, песком или инертными газами.</w:t>
      </w:r>
    </w:p>
    <w:p w14:paraId="607474B2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6. В горных выработках, по которым распространяются продукты горения, предусматриваются меры по предотвращению возгораний: удаление горючего материала из зоны горения или на пути распространения пожара, установка водяных завес и (или) уменьшение расхода воздуха в вентиляционных струях,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подсвежающих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вентиляционные струи с продуктами горения.</w:t>
      </w:r>
    </w:p>
    <w:p w14:paraId="18CEB8E4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Водяные завесы устанавливаются таким образом, чтобы они перекрывали все сечение выработки и исключали возможность распространения пожара по пустотам за крепью горной выработки.</w:t>
      </w:r>
    </w:p>
    <w:p w14:paraId="14A29E8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7. Запрещается тушение пожара водой, когда в горных выработках с исходящей из очага пожара вентиляционной струей находятся люди.</w:t>
      </w:r>
    </w:p>
    <w:p w14:paraId="321BF797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8. Тушение пожаров проводят в ДА.</w:t>
      </w:r>
    </w:p>
    <w:p w14:paraId="75F6353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2DF0A44A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9. При тушении пожара водой предусматриваются меры, направленные на снижение парообразования.</w:t>
      </w:r>
    </w:p>
    <w:p w14:paraId="620A0D80" w14:textId="77777777" w:rsid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10. Запрещается тушение пожара водой в подземных горных выработках соляных и калийных рудников.</w:t>
      </w:r>
    </w:p>
    <w:p w14:paraId="0509A505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36AA909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Тушение пожаров в тупиковых горных выработках</w:t>
      </w:r>
    </w:p>
    <w:p w14:paraId="7580E885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11. Тушение пожара в тупиковых выработках активным способом со стороны забоя осуществляется дистанционно.</w:t>
      </w:r>
    </w:p>
    <w:p w14:paraId="22594A13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12. При тушении пожара в наклонной тупиковой выработке методом затопления организуется проветривание тупиковой части выработки от ее устья до затопленной части. Тупиковую часть выработки допускается не проветривать при условии, что в ней исключено нахождение людей и организован дистанционный контроль уровня воды.</w:t>
      </w:r>
    </w:p>
    <w:p w14:paraId="5D11B9B0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Тупиковые горные выработки, примыкающие к горным выработкам с реверсивными позициями ПЛА, включаются в зону реверсии.</w:t>
      </w:r>
    </w:p>
    <w:p w14:paraId="0769AD74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13. В случае, если при развитии пожара возникает необходимость вывести людей из тупиковой выработки, выполняются мероприятия, которые ограничивают возможность распространения горения, а также способствуют затуханию очага пожара (далее - локализация пожара).</w:t>
      </w:r>
    </w:p>
    <w:p w14:paraId="3F17B340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1B46CC2C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3579FD3E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085C9980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4482F5C1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6F60E68E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20FD9B4F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61464B27" w14:textId="77777777" w:rsidR="00B27A5B" w:rsidRDefault="00B27A5B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</w:p>
    <w:p w14:paraId="0B446390" w14:textId="3C3BE829" w:rsidR="00DA5EFF" w:rsidRPr="00DA5EFF" w:rsidRDefault="00DA5EFF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lastRenderedPageBreak/>
        <w:t>Тушение пожаров в наклонных горных выработках</w:t>
      </w:r>
    </w:p>
    <w:p w14:paraId="139CB47F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14. При пожаре в наклонной выработке с восходящим проветриванием выполняются меры по предотвращению рециркуляции продуктов горения.</w:t>
      </w:r>
    </w:p>
    <w:p w14:paraId="62D2C82B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15. При пожаре в наклонной выработке с нисходящим проветриванием выполняются меры по предотвращению самопроизвольного опрокидывания вентиляционной струи.</w:t>
      </w:r>
    </w:p>
    <w:p w14:paraId="4DD6C5A5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16. Пожар в наклонной выработке с углом наклона более 20° тушится активным способом дистанционно.</w:t>
      </w:r>
    </w:p>
    <w:p w14:paraId="625A6066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17. При тушении пожара в наклонной выработке, оборудованной ленточным конвейером, выполняются меры по предотвращению обрыва и скатывания конвейерной ленты.</w:t>
      </w:r>
    </w:p>
    <w:p w14:paraId="031A10F4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1A091132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Тушение пожаров в вертикальных горных выработках</w:t>
      </w:r>
    </w:p>
    <w:p w14:paraId="6F9E5093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18. Пожары в вертикальных горных выработках тушатся активным способом сверху вниз. Нахождение людей в вертикальных горных выработках во время тушения в них пожара запрещается.</w:t>
      </w:r>
    </w:p>
    <w:p w14:paraId="25603F4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19. При тушении активным способом и локализации пожаров в вертикальных горных выработках с восходящей струей воздуха с применением воды, подаваемой с поверхности, выполняются меры, исключающие опрокидывание вентиляционной струи.</w:t>
      </w:r>
    </w:p>
    <w:p w14:paraId="7E3A078B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20. При тушении активным способом и локализации пожара в вертикальном стволе с исходящей вентиляционной струей или в надшахтном здании этого ствола не допускается изменение направления вентиляционной струи.</w:t>
      </w:r>
    </w:p>
    <w:p w14:paraId="52467AD7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21. При пожаре в надшахтном здании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воздухоподающего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ствола выполняются меры по предотвращению поступления продуктов горения в подземные горные выработки: реверсирование вентиляционной струи, или перекрытие устья ствола, или остановка ВГП.</w:t>
      </w:r>
    </w:p>
    <w:p w14:paraId="36DCFCAB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22. При пожаре в надшахтном здании или в вертикальной выработке, оборудованной подъемом, выполняются меры, предотвращающие падение подъемных сосудов, а также попадание горящих предметов и продуктов горения в подземные горные выработки.</w:t>
      </w:r>
    </w:p>
    <w:p w14:paraId="574FF512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Тушение пожаров активным способом на опасных производственных объектах ведения подземных горных работ, опасных по газу и (или) пыли</w:t>
      </w:r>
    </w:p>
    <w:p w14:paraId="260E893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23. При тушении пожара активным способом с присутствием людей в зоне действия пожара на ОПО ведения подземных горных работ, опасных по газу и (или) пыли, следует:</w:t>
      </w:r>
    </w:p>
    <w:p w14:paraId="69E79244" w14:textId="77777777" w:rsidR="00DA5EFF" w:rsidRPr="00CC23FD" w:rsidRDefault="00DA5EFF" w:rsidP="00CC23FD">
      <w:pPr>
        <w:pStyle w:val="a8"/>
        <w:numPr>
          <w:ilvl w:val="0"/>
          <w:numId w:val="82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C23FD">
        <w:rPr>
          <w:rFonts w:ascii="Arial" w:hAnsi="Arial" w:cs="Arial"/>
          <w:sz w:val="28"/>
          <w:szCs w:val="28"/>
          <w:lang w:eastAsia="ru-RU"/>
        </w:rPr>
        <w:t>не допускать накопления в зоне аварии взрывоопасных концентраций горючих газов;</w:t>
      </w:r>
    </w:p>
    <w:p w14:paraId="6B8C13AA" w14:textId="77777777" w:rsidR="00DA5EFF" w:rsidRPr="00CC23FD" w:rsidRDefault="00DA5EFF" w:rsidP="00CC23FD">
      <w:pPr>
        <w:pStyle w:val="a8"/>
        <w:numPr>
          <w:ilvl w:val="0"/>
          <w:numId w:val="82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C23FD">
        <w:rPr>
          <w:rFonts w:ascii="Arial" w:hAnsi="Arial" w:cs="Arial"/>
          <w:sz w:val="28"/>
          <w:szCs w:val="28"/>
          <w:lang w:eastAsia="ru-RU"/>
        </w:rPr>
        <w:t>осуществлять непрерывный контроль газовой обстановки на аварийном участке и контроль скоплений горючих газов приборами непрерывного контроля содержания горючих газов со звуковой и световой сигнализацией.</w:t>
      </w:r>
    </w:p>
    <w:p w14:paraId="7A314353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24. Тушение пожара в выработанном пространстве следует осуществлять подачей огнетушащих веществ дистанционно, при этом люди должны находиться на расстоянии от места возникновения аварии, далее которого отсутствует вероятность воздействия опасных факторов аварии на человека (далее - безопасное расстояние), либо на поверхности.</w:t>
      </w:r>
    </w:p>
    <w:p w14:paraId="060231BF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25. Запрещается тушить пожар в непроветриваемых тупиковых горных выработках.</w:t>
      </w:r>
    </w:p>
    <w:p w14:paraId="7EE382BB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В случае если при пожаре в тупиковой выработке проветривание было нарушено из-за остановки вентилятора местного проветривания, его включение проводится при соблюдении следующих условий:</w:t>
      </w:r>
    </w:p>
    <w:p w14:paraId="26024A42" w14:textId="77777777" w:rsidR="00DA5EFF" w:rsidRPr="00DA5EFF" w:rsidRDefault="00DA5EFF" w:rsidP="00DA5EFF">
      <w:pPr>
        <w:pStyle w:val="a8"/>
        <w:numPr>
          <w:ilvl w:val="0"/>
          <w:numId w:val="75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концентрация смеси горючих газов в этой выработке не взрывоопасна;</w:t>
      </w:r>
    </w:p>
    <w:p w14:paraId="0B4227C8" w14:textId="77777777" w:rsidR="00DA5EFF" w:rsidRPr="00DA5EFF" w:rsidRDefault="00DA5EFF" w:rsidP="00DA5EFF">
      <w:pPr>
        <w:pStyle w:val="a8"/>
        <w:numPr>
          <w:ilvl w:val="0"/>
          <w:numId w:val="75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включение вентилятора местного проветривания не приведет к созданию взрывоопасной концентрации.</w:t>
      </w:r>
    </w:p>
    <w:p w14:paraId="1693BC7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Запрещается ведение горноспасательных работ в тупиковой выработке в том случае, когда отсутствует информация о содержании в ней горючих газов, и в данной выработке нет пострадавших.</w:t>
      </w:r>
    </w:p>
    <w:p w14:paraId="770625C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26. Работы в горных выработках изолированного участка необходимо выполнять только после создания в изолированном пространстве взрывобезопасной рудничной атмосферы и при условии, что процесс поддержания инертной среды является устойчивым и управляемым.</w:t>
      </w:r>
    </w:p>
    <w:p w14:paraId="7657FF76" w14:textId="77777777" w:rsid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28F047A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center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b/>
          <w:bCs/>
          <w:color w:val="auto"/>
          <w:sz w:val="28"/>
          <w:szCs w:val="28"/>
          <w:lang w:eastAsia="ru-RU"/>
        </w:rPr>
        <w:t>Тушение подземного пожара методом изоляции горных выработок</w:t>
      </w:r>
    </w:p>
    <w:p w14:paraId="156359C5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27. Изоляцию пожара следует проводить в случаях, когда активный способ тушения пожара невозможен или при его применении не удается локализовать и потушить пожар.</w:t>
      </w:r>
    </w:p>
    <w:p w14:paraId="150F5689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28. Изоляция пожара проводится следующими способами: возведение изолирующих перемычек (далее - ИП), затопление горных выработок, закрытие противопожарных дверей (ляд) и другими способами.</w:t>
      </w:r>
    </w:p>
    <w:p w14:paraId="7A1F1161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29. Изоляцию аварийного участка, в котором находится очаг действующего пожара (далее - пожарный участок), в угольных шахтах способом возведения ИП следует проводить в соответствии с требованиями нормативных правовых актов по аэрологической безопасности угольных шахт.</w:t>
      </w:r>
    </w:p>
    <w:p w14:paraId="5E211877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30. Места возведения ИП, предназначенных для изоляции пожарного участка, их конструкцию, последовательность и сроки возведения определяет РЛА.</w:t>
      </w:r>
    </w:p>
    <w:p w14:paraId="5110AEFC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31. Во время изоляции следует контролировать расход воздуха в горных выработках пожарного участка, содержание газов и температуру воздуха в исходящих с пожарного участка вентиляционных струях.</w:t>
      </w:r>
    </w:p>
    <w:p w14:paraId="06EF866B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32. Изоляцию горных выработок ИП следует осуществлять в следующем порядке:</w:t>
      </w:r>
    </w:p>
    <w:p w14:paraId="7A092EA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определить границы пожарного участка, места установки ИП;</w:t>
      </w:r>
    </w:p>
    <w:p w14:paraId="0BF8901E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принять меры по снижению расхода воздуха, поступающего на пожарный участок, в том числе по герметизации ИП, возведению дополнительных ИП, снятию депрессии с изолированного пространства.</w:t>
      </w:r>
    </w:p>
    <w:p w14:paraId="33D3B095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>Тушение подземного пожара методом изоляции горных выработок на опасных производственных объектах ведения подземных горных работ, опасных по газу и (или) пыли</w:t>
      </w:r>
    </w:p>
    <w:p w14:paraId="2473B39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33. На ОПО ведения подземных горных работ, опасных по газу и (или) пыли, горные выработки пожарного участка изолируются взрывоустойчивыми ИП. Изоляцию горных выработок следует производить на безопасных расстояниях.</w:t>
      </w:r>
    </w:p>
    <w:p w14:paraId="5CA1837A" w14:textId="24FB98E4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34. После определения мест установки взрывоустойчивых ИП необходимо:</w:t>
      </w:r>
    </w:p>
    <w:p w14:paraId="4A59C70A" w14:textId="77777777" w:rsidR="00DA5EFF" w:rsidRPr="00DA5EFF" w:rsidRDefault="00DA5EFF" w:rsidP="00DA5EFF">
      <w:pPr>
        <w:pStyle w:val="a8"/>
        <w:numPr>
          <w:ilvl w:val="0"/>
          <w:numId w:val="76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рассчитать площадь поперечного сечения проемов;</w:t>
      </w:r>
    </w:p>
    <w:p w14:paraId="3343D880" w14:textId="77777777" w:rsidR="00DA5EFF" w:rsidRPr="00DA5EFF" w:rsidRDefault="00DA5EFF" w:rsidP="00DA5EFF">
      <w:pPr>
        <w:pStyle w:val="a8"/>
        <w:numPr>
          <w:ilvl w:val="0"/>
          <w:numId w:val="76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проложить трубопроводы для дистанционного отбора проб воздуха в изолированном пространстве;</w:t>
      </w:r>
    </w:p>
    <w:p w14:paraId="3256818F" w14:textId="77777777" w:rsidR="00DA5EFF" w:rsidRPr="00DA5EFF" w:rsidRDefault="00DA5EFF" w:rsidP="00DA5EFF">
      <w:pPr>
        <w:pStyle w:val="a8"/>
        <w:numPr>
          <w:ilvl w:val="0"/>
          <w:numId w:val="76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соорудить взрывоустойчивые ИП в горных выработках, не нарушая проветривание пожарного участка;</w:t>
      </w:r>
    </w:p>
    <w:p w14:paraId="2E14F948" w14:textId="77777777" w:rsidR="00DA5EFF" w:rsidRPr="00DA5EFF" w:rsidRDefault="00DA5EFF" w:rsidP="00DA5EFF">
      <w:pPr>
        <w:pStyle w:val="a8"/>
        <w:numPr>
          <w:ilvl w:val="0"/>
          <w:numId w:val="76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соорудить взрывоустойчивые ИП с проемами в горных выработках с поступающей и исходящей вентиляционными струями;</w:t>
      </w:r>
    </w:p>
    <w:p w14:paraId="65284D3D" w14:textId="77777777" w:rsidR="00DA5EFF" w:rsidRPr="00DA5EFF" w:rsidRDefault="00DA5EFF" w:rsidP="00DA5EFF">
      <w:pPr>
        <w:pStyle w:val="a8"/>
        <w:numPr>
          <w:ilvl w:val="0"/>
          <w:numId w:val="76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закрыть проемы во взрывоустойчивых ИП.</w:t>
      </w:r>
    </w:p>
    <w:p w14:paraId="3CFC02C4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35. Вентиляционные проемы во взрывоустойчивых ИП должны закрываться взрывоустойчивыми крышками. В случае, когда время, необходимое для закрытия проемов составляет более 50% расчетного времени, за которое в изолируемом пространстве образуется взрывоопасная концентрация рудничных газов, проемы закрываются дистанционно.</w:t>
      </w:r>
    </w:p>
    <w:p w14:paraId="31F1E4D4" w14:textId="77777777" w:rsid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36. Количество и площадь поперечного сечения проемов во взрывоустойчивых ИП рассчитываются из условия, что во время выполнения работ по изоляции в изолируемое пространство должен поступать такой объем воздуха, при котором обеспечивается взрывобезопасное содержание горючих газов в изолируемых горных выработках.</w:t>
      </w:r>
    </w:p>
    <w:p w14:paraId="74B94A08" w14:textId="77777777" w:rsidR="00B27A5B" w:rsidRDefault="00B27A5B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2DBB5508" w14:textId="77777777" w:rsidR="00B27A5B" w:rsidRPr="00DA5EFF" w:rsidRDefault="00B27A5B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7D069F68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lastRenderedPageBreak/>
        <w:t xml:space="preserve">37. Для сокращения зоны аварии, предотвращения образования взрывоопасных скоплений горючих газов и кислорода, повышения эффективности изоляции допускается осуществлять меры по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инертизации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и (или)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флегматизации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рудничной атмосферы на аварийном участке путем применения инертных газов или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флегматизаторов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.</w:t>
      </w:r>
    </w:p>
    <w:p w14:paraId="5DEA3417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Порядок проведения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инертизации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и (или)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флегматизации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определяется оперативным планом.</w:t>
      </w:r>
    </w:p>
    <w:p w14:paraId="4ED65C96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Процесс поддержания инертной среды на пожарном участке должен быть устойчивым, контролируемым и управляемым.</w:t>
      </w:r>
    </w:p>
    <w:p w14:paraId="0150D22D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38. При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инертизации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рудничной атмосферы на пожарном участке необходимо:</w:t>
      </w:r>
    </w:p>
    <w:p w14:paraId="357B9F96" w14:textId="77777777" w:rsidR="00DA5EFF" w:rsidRPr="00DA5EFF" w:rsidRDefault="00DA5EFF" w:rsidP="00DA5EFF">
      <w:pPr>
        <w:pStyle w:val="a8"/>
        <w:numPr>
          <w:ilvl w:val="0"/>
          <w:numId w:val="77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определить объем горных выработок пожарного участка, которые необходимо заполнить инертными газами;</w:t>
      </w:r>
    </w:p>
    <w:p w14:paraId="15FE5A81" w14:textId="77777777" w:rsidR="00DA5EFF" w:rsidRPr="00DA5EFF" w:rsidRDefault="00DA5EFF" w:rsidP="00DA5EFF">
      <w:pPr>
        <w:pStyle w:val="a8"/>
        <w:numPr>
          <w:ilvl w:val="0"/>
          <w:numId w:val="77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>рассчитать необходимое количество инертного газа, интенсивность и продолжительность его подачи;</w:t>
      </w:r>
    </w:p>
    <w:p w14:paraId="6C7A9199" w14:textId="77777777" w:rsidR="00DA5EFF" w:rsidRPr="00DA5EFF" w:rsidRDefault="00DA5EFF" w:rsidP="00DA5EFF">
      <w:pPr>
        <w:pStyle w:val="a8"/>
        <w:numPr>
          <w:ilvl w:val="0"/>
          <w:numId w:val="77"/>
        </w:numPr>
        <w:shd w:val="clear" w:color="auto" w:fill="FFFFFF"/>
        <w:spacing w:line="312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A5EFF">
        <w:rPr>
          <w:rFonts w:ascii="Arial" w:hAnsi="Arial" w:cs="Arial"/>
          <w:sz w:val="28"/>
          <w:szCs w:val="28"/>
          <w:lang w:eastAsia="ru-RU"/>
        </w:rPr>
        <w:t xml:space="preserve">определить места установки оборудования для выполнения работ по </w:t>
      </w:r>
      <w:proofErr w:type="spellStart"/>
      <w:r w:rsidRPr="00DA5EFF">
        <w:rPr>
          <w:rFonts w:ascii="Arial" w:hAnsi="Arial" w:cs="Arial"/>
          <w:sz w:val="28"/>
          <w:szCs w:val="28"/>
          <w:lang w:eastAsia="ru-RU"/>
        </w:rPr>
        <w:t>инертизации</w:t>
      </w:r>
      <w:proofErr w:type="spellEnd"/>
      <w:r w:rsidRPr="00DA5EFF">
        <w:rPr>
          <w:rFonts w:ascii="Arial" w:hAnsi="Arial" w:cs="Arial"/>
          <w:sz w:val="28"/>
          <w:szCs w:val="28"/>
          <w:lang w:eastAsia="ru-RU"/>
        </w:rPr>
        <w:t xml:space="preserve"> рудничной атмосферы в изолируемом пространстве.</w:t>
      </w:r>
    </w:p>
    <w:p w14:paraId="643E598F" w14:textId="77777777" w:rsidR="00DA5EFF" w:rsidRPr="00DA5EFF" w:rsidRDefault="00DA5EFF" w:rsidP="00DA5EFF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39. К </w:t>
      </w: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инертизации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рудничной атмосферы в изолируемом пространстве следует приступать после окончания работ по изоляции пожарного участка.</w:t>
      </w:r>
    </w:p>
    <w:p w14:paraId="50E6B91C" w14:textId="43CF084B" w:rsidR="00CC23FD" w:rsidRDefault="00DA5EFF" w:rsidP="00B27A5B">
      <w:pPr>
        <w:shd w:val="clear" w:color="auto" w:fill="FFFFFF"/>
        <w:spacing w:line="312" w:lineRule="auto"/>
        <w:ind w:firstLine="709"/>
        <w:jc w:val="both"/>
        <w:rPr>
          <w:rFonts w:ascii="Arial" w:hAnsi="Arial" w:cs="Arial"/>
          <w:color w:val="auto"/>
          <w:sz w:val="28"/>
          <w:szCs w:val="28"/>
          <w:lang w:eastAsia="ru-RU"/>
        </w:rPr>
      </w:pPr>
      <w:proofErr w:type="spellStart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>Инертизация</w:t>
      </w:r>
      <w:proofErr w:type="spellEnd"/>
      <w:r w:rsidRPr="00DA5EFF">
        <w:rPr>
          <w:rFonts w:ascii="Arial" w:hAnsi="Arial" w:cs="Arial"/>
          <w:color w:val="auto"/>
          <w:sz w:val="28"/>
          <w:szCs w:val="28"/>
          <w:lang w:eastAsia="ru-RU"/>
        </w:rPr>
        <w:t xml:space="preserve"> рудничной атмосферы в изолируемом пространстве может быть начата до окончания возведения взрывоустойчивых ИП в случае, если объем подаваемого инертного газа превышает расход воздуха, поступающего на пожарный участок.</w:t>
      </w:r>
      <w:bookmarkStart w:id="1" w:name="_Hlk160105609"/>
    </w:p>
    <w:p w14:paraId="5A7DE4DD" w14:textId="77777777" w:rsidR="00CC23FD" w:rsidRDefault="00CC23FD" w:rsidP="00122F94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6B0253CA" w14:textId="77777777" w:rsidR="00CC23FD" w:rsidRDefault="00CC23FD" w:rsidP="00122F94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</w:p>
    <w:p w14:paraId="0E42131B" w14:textId="77777777" w:rsidR="00CC23FD" w:rsidRDefault="00CC23FD" w:rsidP="00122F94">
      <w:pPr>
        <w:shd w:val="clear" w:color="auto" w:fill="FFFFFF"/>
        <w:spacing w:line="312" w:lineRule="auto"/>
        <w:jc w:val="right"/>
        <w:rPr>
          <w:rFonts w:ascii="Arial" w:hAnsi="Arial" w:cs="Arial"/>
          <w:color w:val="auto"/>
          <w:sz w:val="28"/>
          <w:szCs w:val="28"/>
          <w:lang w:eastAsia="ru-RU"/>
        </w:rPr>
      </w:pPr>
    </w:p>
    <w:bookmarkEnd w:id="1"/>
    <w:bookmarkEnd w:id="0"/>
    <w:sectPr w:rsidR="00CC23FD" w:rsidSect="006D23AD">
      <w:headerReference w:type="default" r:id="rId7"/>
      <w:pgSz w:w="16838" w:h="11906" w:orient="landscape" w:code="9"/>
      <w:pgMar w:top="360" w:right="740" w:bottom="3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6E3C" w14:textId="77777777" w:rsidR="006D23AD" w:rsidRDefault="006D23AD" w:rsidP="00B62742">
      <w:r>
        <w:separator/>
      </w:r>
    </w:p>
  </w:endnote>
  <w:endnote w:type="continuationSeparator" w:id="0">
    <w:p w14:paraId="6083EAC0" w14:textId="77777777" w:rsidR="006D23AD" w:rsidRDefault="006D23AD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D7E7" w14:textId="77777777" w:rsidR="006D23AD" w:rsidRDefault="006D23AD" w:rsidP="00B62742">
      <w:r>
        <w:separator/>
      </w:r>
    </w:p>
  </w:footnote>
  <w:footnote w:type="continuationSeparator" w:id="0">
    <w:p w14:paraId="3782D543" w14:textId="77777777" w:rsidR="006D23AD" w:rsidRDefault="006D23AD" w:rsidP="00B62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3F7" w14:textId="77777777" w:rsidR="00A410F1" w:rsidRDefault="00A410F1">
    <w:pPr>
      <w:pStyle w:val="a3"/>
    </w:pPr>
    <w:r w:rsidRPr="00287122">
      <w:rPr>
        <w:noProof/>
        <w:lang w:eastAsia="ru-RU"/>
      </w:rPr>
      <w:drawing>
        <wp:inline distT="0" distB="0" distL="0" distR="0" wp14:anchorId="0F3C4184" wp14:editId="423119B2">
          <wp:extent cx="637909" cy="469900"/>
          <wp:effectExtent l="0" t="0" r="0" b="6350"/>
          <wp:docPr id="171763448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54E2B0B0-1FDD-4063-965F-65880C7549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Рисунок 9">
                    <a:extLst>
                      <a:ext uri="{FF2B5EF4-FFF2-40B4-BE49-F238E27FC236}">
                        <a16:creationId xmlns:a16="http://schemas.microsoft.com/office/drawing/2014/main" id="{54E2B0B0-1FDD-4063-965F-65880C75497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790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6CBE0" w14:textId="77777777" w:rsidR="00A410F1" w:rsidRDefault="00A41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ED"/>
    <w:multiLevelType w:val="hybridMultilevel"/>
    <w:tmpl w:val="2278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D1161"/>
    <w:multiLevelType w:val="hybridMultilevel"/>
    <w:tmpl w:val="EE608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B72F9"/>
    <w:multiLevelType w:val="hybridMultilevel"/>
    <w:tmpl w:val="3A0C6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B12F6"/>
    <w:multiLevelType w:val="hybridMultilevel"/>
    <w:tmpl w:val="3B1E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082"/>
    <w:multiLevelType w:val="hybridMultilevel"/>
    <w:tmpl w:val="E1B4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CB"/>
    <w:multiLevelType w:val="hybridMultilevel"/>
    <w:tmpl w:val="EC5C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0EBB"/>
    <w:multiLevelType w:val="hybridMultilevel"/>
    <w:tmpl w:val="BF54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201D7"/>
    <w:multiLevelType w:val="hybridMultilevel"/>
    <w:tmpl w:val="6DB6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5689D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93232"/>
    <w:multiLevelType w:val="hybridMultilevel"/>
    <w:tmpl w:val="C3D0B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C55C11"/>
    <w:multiLevelType w:val="hybridMultilevel"/>
    <w:tmpl w:val="8C06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016A"/>
    <w:multiLevelType w:val="hybridMultilevel"/>
    <w:tmpl w:val="DC5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85816"/>
    <w:multiLevelType w:val="hybridMultilevel"/>
    <w:tmpl w:val="0DF82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B33559"/>
    <w:multiLevelType w:val="hybridMultilevel"/>
    <w:tmpl w:val="CEE0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5D40"/>
    <w:multiLevelType w:val="hybridMultilevel"/>
    <w:tmpl w:val="35CA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A3F07"/>
    <w:multiLevelType w:val="hybridMultilevel"/>
    <w:tmpl w:val="8700B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CE4771"/>
    <w:multiLevelType w:val="hybridMultilevel"/>
    <w:tmpl w:val="05168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412279"/>
    <w:multiLevelType w:val="hybridMultilevel"/>
    <w:tmpl w:val="7D1E865A"/>
    <w:lvl w:ilvl="0" w:tplc="5328A758">
      <w:numFmt w:val="bullet"/>
      <w:lvlText w:val="•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A62F72"/>
    <w:multiLevelType w:val="hybridMultilevel"/>
    <w:tmpl w:val="BCB2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439CC"/>
    <w:multiLevelType w:val="hybridMultilevel"/>
    <w:tmpl w:val="E8FCB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0D7043"/>
    <w:multiLevelType w:val="hybridMultilevel"/>
    <w:tmpl w:val="28B61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BD3AAC"/>
    <w:multiLevelType w:val="hybridMultilevel"/>
    <w:tmpl w:val="0D18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9940313"/>
    <w:multiLevelType w:val="hybridMultilevel"/>
    <w:tmpl w:val="5E1C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17892"/>
    <w:multiLevelType w:val="hybridMultilevel"/>
    <w:tmpl w:val="A6C2E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A07249C"/>
    <w:multiLevelType w:val="hybridMultilevel"/>
    <w:tmpl w:val="392C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A5B516F"/>
    <w:multiLevelType w:val="hybridMultilevel"/>
    <w:tmpl w:val="86E4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E3550"/>
    <w:multiLevelType w:val="hybridMultilevel"/>
    <w:tmpl w:val="150CA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D2B3532"/>
    <w:multiLevelType w:val="hybridMultilevel"/>
    <w:tmpl w:val="1884C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04A6529"/>
    <w:multiLevelType w:val="hybridMultilevel"/>
    <w:tmpl w:val="633A4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143311D"/>
    <w:multiLevelType w:val="hybridMultilevel"/>
    <w:tmpl w:val="A3AEC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E61954"/>
    <w:multiLevelType w:val="hybridMultilevel"/>
    <w:tmpl w:val="AEA8E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0670FB3"/>
    <w:multiLevelType w:val="hybridMultilevel"/>
    <w:tmpl w:val="E2407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508312A"/>
    <w:multiLevelType w:val="hybridMultilevel"/>
    <w:tmpl w:val="B79ED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8A437B0"/>
    <w:multiLevelType w:val="hybridMultilevel"/>
    <w:tmpl w:val="3A24E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CA2AC2"/>
    <w:multiLevelType w:val="hybridMultilevel"/>
    <w:tmpl w:val="34AA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0D0677"/>
    <w:multiLevelType w:val="hybridMultilevel"/>
    <w:tmpl w:val="6F3E1F38"/>
    <w:lvl w:ilvl="0" w:tplc="F26CE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651822"/>
    <w:multiLevelType w:val="hybridMultilevel"/>
    <w:tmpl w:val="F1C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604F6D"/>
    <w:multiLevelType w:val="hybridMultilevel"/>
    <w:tmpl w:val="920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2B60DA0"/>
    <w:multiLevelType w:val="hybridMultilevel"/>
    <w:tmpl w:val="DC1E1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3B94319"/>
    <w:multiLevelType w:val="hybridMultilevel"/>
    <w:tmpl w:val="9990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58721D3"/>
    <w:multiLevelType w:val="hybridMultilevel"/>
    <w:tmpl w:val="7F1E25FE"/>
    <w:lvl w:ilvl="0" w:tplc="5328A758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45B60723"/>
    <w:multiLevelType w:val="hybridMultilevel"/>
    <w:tmpl w:val="DD5A53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A8503A2"/>
    <w:multiLevelType w:val="hybridMultilevel"/>
    <w:tmpl w:val="F78C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AA30770"/>
    <w:multiLevelType w:val="hybridMultilevel"/>
    <w:tmpl w:val="FD122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B067972"/>
    <w:multiLevelType w:val="hybridMultilevel"/>
    <w:tmpl w:val="A9D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141D8"/>
    <w:multiLevelType w:val="hybridMultilevel"/>
    <w:tmpl w:val="80CEC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D48099F"/>
    <w:multiLevelType w:val="hybridMultilevel"/>
    <w:tmpl w:val="87845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E097E6E"/>
    <w:multiLevelType w:val="hybridMultilevel"/>
    <w:tmpl w:val="0E76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892796"/>
    <w:multiLevelType w:val="hybridMultilevel"/>
    <w:tmpl w:val="DB5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CB7575"/>
    <w:multiLevelType w:val="hybridMultilevel"/>
    <w:tmpl w:val="575A9AE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EDC08D7"/>
    <w:multiLevelType w:val="multilevel"/>
    <w:tmpl w:val="C7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EFA0577"/>
    <w:multiLevelType w:val="hybridMultilevel"/>
    <w:tmpl w:val="874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3D0EE3"/>
    <w:multiLevelType w:val="hybridMultilevel"/>
    <w:tmpl w:val="B16A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3ED7FBA"/>
    <w:multiLevelType w:val="hybridMultilevel"/>
    <w:tmpl w:val="D466F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5E20708"/>
    <w:multiLevelType w:val="hybridMultilevel"/>
    <w:tmpl w:val="F1F00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873C73"/>
    <w:multiLevelType w:val="hybridMultilevel"/>
    <w:tmpl w:val="80D01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71335BA"/>
    <w:multiLevelType w:val="hybridMultilevel"/>
    <w:tmpl w:val="E378F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C1454E"/>
    <w:multiLevelType w:val="hybridMultilevel"/>
    <w:tmpl w:val="2D8C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97069B5"/>
    <w:multiLevelType w:val="hybridMultilevel"/>
    <w:tmpl w:val="1E74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9846F5F"/>
    <w:multiLevelType w:val="hybridMultilevel"/>
    <w:tmpl w:val="B0924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AD3196F"/>
    <w:multiLevelType w:val="hybridMultilevel"/>
    <w:tmpl w:val="EBA0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C15FC7"/>
    <w:multiLevelType w:val="hybridMultilevel"/>
    <w:tmpl w:val="457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F65CE1"/>
    <w:multiLevelType w:val="hybridMultilevel"/>
    <w:tmpl w:val="F39A1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0513D7A"/>
    <w:multiLevelType w:val="hybridMultilevel"/>
    <w:tmpl w:val="83DC2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34E7796"/>
    <w:multiLevelType w:val="hybridMultilevel"/>
    <w:tmpl w:val="EF32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5F0823"/>
    <w:multiLevelType w:val="hybridMultilevel"/>
    <w:tmpl w:val="9064F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6563BA5"/>
    <w:multiLevelType w:val="hybridMultilevel"/>
    <w:tmpl w:val="D73A8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6F16AFD"/>
    <w:multiLevelType w:val="hybridMultilevel"/>
    <w:tmpl w:val="9368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CFA6F7F"/>
    <w:multiLevelType w:val="hybridMultilevel"/>
    <w:tmpl w:val="6BECA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D3445EE"/>
    <w:multiLevelType w:val="hybridMultilevel"/>
    <w:tmpl w:val="F7841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F960A77"/>
    <w:multiLevelType w:val="hybridMultilevel"/>
    <w:tmpl w:val="5C4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9E2910"/>
    <w:multiLevelType w:val="hybridMultilevel"/>
    <w:tmpl w:val="0AD6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3E179A"/>
    <w:multiLevelType w:val="hybridMultilevel"/>
    <w:tmpl w:val="3FF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15D3BB8"/>
    <w:multiLevelType w:val="hybridMultilevel"/>
    <w:tmpl w:val="7396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3931E76"/>
    <w:multiLevelType w:val="hybridMultilevel"/>
    <w:tmpl w:val="8834C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4CE4AC6"/>
    <w:multiLevelType w:val="hybridMultilevel"/>
    <w:tmpl w:val="AD4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A3846"/>
    <w:multiLevelType w:val="hybridMultilevel"/>
    <w:tmpl w:val="3522E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66420F3"/>
    <w:multiLevelType w:val="hybridMultilevel"/>
    <w:tmpl w:val="9FBA0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8C87509"/>
    <w:multiLevelType w:val="hybridMultilevel"/>
    <w:tmpl w:val="4972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F87745"/>
    <w:multiLevelType w:val="hybridMultilevel"/>
    <w:tmpl w:val="BCF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93357C"/>
    <w:multiLevelType w:val="hybridMultilevel"/>
    <w:tmpl w:val="48A42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E5A1E18"/>
    <w:multiLevelType w:val="hybridMultilevel"/>
    <w:tmpl w:val="72B02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EA24EDF"/>
    <w:multiLevelType w:val="hybridMultilevel"/>
    <w:tmpl w:val="163A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FC618BF"/>
    <w:multiLevelType w:val="hybridMultilevel"/>
    <w:tmpl w:val="32EAA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8307136">
    <w:abstractNumId w:val="50"/>
  </w:num>
  <w:num w:numId="2" w16cid:durableId="628128482">
    <w:abstractNumId w:val="10"/>
  </w:num>
  <w:num w:numId="3" w16cid:durableId="303510476">
    <w:abstractNumId w:val="58"/>
  </w:num>
  <w:num w:numId="4" w16cid:durableId="565915214">
    <w:abstractNumId w:val="8"/>
  </w:num>
  <w:num w:numId="5" w16cid:durableId="507793672">
    <w:abstractNumId w:val="78"/>
  </w:num>
  <w:num w:numId="6" w16cid:durableId="1634477713">
    <w:abstractNumId w:val="51"/>
  </w:num>
  <w:num w:numId="7" w16cid:durableId="1540511172">
    <w:abstractNumId w:val="13"/>
  </w:num>
  <w:num w:numId="8" w16cid:durableId="154733217">
    <w:abstractNumId w:val="75"/>
  </w:num>
  <w:num w:numId="9" w16cid:durableId="580723718">
    <w:abstractNumId w:val="35"/>
  </w:num>
  <w:num w:numId="10" w16cid:durableId="1551766375">
    <w:abstractNumId w:val="7"/>
  </w:num>
  <w:num w:numId="11" w16cid:durableId="1798256894">
    <w:abstractNumId w:val="22"/>
  </w:num>
  <w:num w:numId="12" w16cid:durableId="521820400">
    <w:abstractNumId w:val="36"/>
  </w:num>
  <w:num w:numId="13" w16cid:durableId="1921060924">
    <w:abstractNumId w:val="14"/>
  </w:num>
  <w:num w:numId="14" w16cid:durableId="238756616">
    <w:abstractNumId w:val="18"/>
  </w:num>
  <w:num w:numId="15" w16cid:durableId="1028682899">
    <w:abstractNumId w:val="11"/>
  </w:num>
  <w:num w:numId="16" w16cid:durableId="2079665143">
    <w:abstractNumId w:val="71"/>
  </w:num>
  <w:num w:numId="17" w16cid:durableId="717708211">
    <w:abstractNumId w:val="25"/>
  </w:num>
  <w:num w:numId="18" w16cid:durableId="1376855038">
    <w:abstractNumId w:val="3"/>
  </w:num>
  <w:num w:numId="19" w16cid:durableId="541357921">
    <w:abstractNumId w:val="28"/>
  </w:num>
  <w:num w:numId="20" w16cid:durableId="1366175612">
    <w:abstractNumId w:val="70"/>
  </w:num>
  <w:num w:numId="21" w16cid:durableId="1557741717">
    <w:abstractNumId w:val="61"/>
  </w:num>
  <w:num w:numId="22" w16cid:durableId="114255186">
    <w:abstractNumId w:val="44"/>
  </w:num>
  <w:num w:numId="23" w16cid:durableId="802310937">
    <w:abstractNumId w:val="48"/>
  </w:num>
  <w:num w:numId="24" w16cid:durableId="802692327">
    <w:abstractNumId w:val="79"/>
  </w:num>
  <w:num w:numId="25" w16cid:durableId="1838763433">
    <w:abstractNumId w:val="20"/>
  </w:num>
  <w:num w:numId="26" w16cid:durableId="1706250110">
    <w:abstractNumId w:val="60"/>
  </w:num>
  <w:num w:numId="27" w16cid:durableId="1349408516">
    <w:abstractNumId w:val="5"/>
  </w:num>
  <w:num w:numId="28" w16cid:durableId="1352142730">
    <w:abstractNumId w:val="52"/>
  </w:num>
  <w:num w:numId="29" w16cid:durableId="1568419328">
    <w:abstractNumId w:val="64"/>
  </w:num>
  <w:num w:numId="30" w16cid:durableId="1079524886">
    <w:abstractNumId w:val="12"/>
  </w:num>
  <w:num w:numId="31" w16cid:durableId="943995047">
    <w:abstractNumId w:val="29"/>
  </w:num>
  <w:num w:numId="32" w16cid:durableId="862287060">
    <w:abstractNumId w:val="39"/>
  </w:num>
  <w:num w:numId="33" w16cid:durableId="662508065">
    <w:abstractNumId w:val="33"/>
  </w:num>
  <w:num w:numId="34" w16cid:durableId="534661598">
    <w:abstractNumId w:val="82"/>
  </w:num>
  <w:num w:numId="35" w16cid:durableId="1369330967">
    <w:abstractNumId w:val="27"/>
  </w:num>
  <w:num w:numId="36" w16cid:durableId="602614119">
    <w:abstractNumId w:val="15"/>
  </w:num>
  <w:num w:numId="37" w16cid:durableId="445394141">
    <w:abstractNumId w:val="65"/>
  </w:num>
  <w:num w:numId="38" w16cid:durableId="103573889">
    <w:abstractNumId w:val="59"/>
  </w:num>
  <w:num w:numId="39" w16cid:durableId="1634941274">
    <w:abstractNumId w:val="68"/>
  </w:num>
  <w:num w:numId="40" w16cid:durableId="490802955">
    <w:abstractNumId w:val="38"/>
  </w:num>
  <w:num w:numId="41" w16cid:durableId="352994151">
    <w:abstractNumId w:val="19"/>
  </w:num>
  <w:num w:numId="42" w16cid:durableId="1975406989">
    <w:abstractNumId w:val="42"/>
  </w:num>
  <w:num w:numId="43" w16cid:durableId="256132015">
    <w:abstractNumId w:val="47"/>
  </w:num>
  <w:num w:numId="44" w16cid:durableId="1399355583">
    <w:abstractNumId w:val="80"/>
  </w:num>
  <w:num w:numId="45" w16cid:durableId="213279997">
    <w:abstractNumId w:val="16"/>
  </w:num>
  <w:num w:numId="46" w16cid:durableId="1297417141">
    <w:abstractNumId w:val="67"/>
  </w:num>
  <w:num w:numId="47" w16cid:durableId="1409183984">
    <w:abstractNumId w:val="2"/>
  </w:num>
  <w:num w:numId="48" w16cid:durableId="1412846581">
    <w:abstractNumId w:val="23"/>
  </w:num>
  <w:num w:numId="49" w16cid:durableId="2082172737">
    <w:abstractNumId w:val="66"/>
  </w:num>
  <w:num w:numId="50" w16cid:durableId="1067190793">
    <w:abstractNumId w:val="34"/>
  </w:num>
  <w:num w:numId="51" w16cid:durableId="1577671618">
    <w:abstractNumId w:val="77"/>
  </w:num>
  <w:num w:numId="52" w16cid:durableId="239102860">
    <w:abstractNumId w:val="24"/>
  </w:num>
  <w:num w:numId="53" w16cid:durableId="1169635121">
    <w:abstractNumId w:val="83"/>
  </w:num>
  <w:num w:numId="54" w16cid:durableId="1910338259">
    <w:abstractNumId w:val="46"/>
  </w:num>
  <w:num w:numId="55" w16cid:durableId="881675397">
    <w:abstractNumId w:val="55"/>
  </w:num>
  <w:num w:numId="56" w16cid:durableId="1673947658">
    <w:abstractNumId w:val="53"/>
  </w:num>
  <w:num w:numId="57" w16cid:durableId="155995985">
    <w:abstractNumId w:val="9"/>
  </w:num>
  <w:num w:numId="58" w16cid:durableId="570310718">
    <w:abstractNumId w:val="54"/>
  </w:num>
  <w:num w:numId="59" w16cid:durableId="1110081513">
    <w:abstractNumId w:val="63"/>
  </w:num>
  <w:num w:numId="60" w16cid:durableId="1855194540">
    <w:abstractNumId w:val="41"/>
  </w:num>
  <w:num w:numId="61" w16cid:durableId="981230055">
    <w:abstractNumId w:val="40"/>
  </w:num>
  <w:num w:numId="62" w16cid:durableId="1521235234">
    <w:abstractNumId w:val="17"/>
  </w:num>
  <w:num w:numId="63" w16cid:durableId="1810705388">
    <w:abstractNumId w:val="49"/>
  </w:num>
  <w:num w:numId="64" w16cid:durableId="1598169826">
    <w:abstractNumId w:val="1"/>
  </w:num>
  <w:num w:numId="65" w16cid:durableId="851139393">
    <w:abstractNumId w:val="6"/>
  </w:num>
  <w:num w:numId="66" w16cid:durableId="1748725831">
    <w:abstractNumId w:val="21"/>
  </w:num>
  <w:num w:numId="67" w16cid:durableId="513307599">
    <w:abstractNumId w:val="26"/>
  </w:num>
  <w:num w:numId="68" w16cid:durableId="1841458656">
    <w:abstractNumId w:val="73"/>
  </w:num>
  <w:num w:numId="69" w16cid:durableId="905601929">
    <w:abstractNumId w:val="56"/>
  </w:num>
  <w:num w:numId="70" w16cid:durableId="663774884">
    <w:abstractNumId w:val="76"/>
  </w:num>
  <w:num w:numId="71" w16cid:durableId="1497188107">
    <w:abstractNumId w:val="32"/>
  </w:num>
  <w:num w:numId="72" w16cid:durableId="1028212716">
    <w:abstractNumId w:val="74"/>
  </w:num>
  <w:num w:numId="73" w16cid:durableId="435173803">
    <w:abstractNumId w:val="4"/>
  </w:num>
  <w:num w:numId="74" w16cid:durableId="636952558">
    <w:abstractNumId w:val="31"/>
  </w:num>
  <w:num w:numId="75" w16cid:durableId="1060398391">
    <w:abstractNumId w:val="37"/>
  </w:num>
  <w:num w:numId="76" w16cid:durableId="1675037030">
    <w:abstractNumId w:val="45"/>
  </w:num>
  <w:num w:numId="77" w16cid:durableId="1519195530">
    <w:abstractNumId w:val="72"/>
  </w:num>
  <w:num w:numId="78" w16cid:durableId="579215457">
    <w:abstractNumId w:val="57"/>
  </w:num>
  <w:num w:numId="79" w16cid:durableId="1196040616">
    <w:abstractNumId w:val="69"/>
  </w:num>
  <w:num w:numId="80" w16cid:durableId="1410150763">
    <w:abstractNumId w:val="30"/>
  </w:num>
  <w:num w:numId="81" w16cid:durableId="623774335">
    <w:abstractNumId w:val="43"/>
  </w:num>
  <w:num w:numId="82" w16cid:durableId="1970941010">
    <w:abstractNumId w:val="81"/>
  </w:num>
  <w:num w:numId="83" w16cid:durableId="880749699">
    <w:abstractNumId w:val="62"/>
  </w:num>
  <w:num w:numId="84" w16cid:durableId="170401296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49"/>
    <w:rsid w:val="00000FE6"/>
    <w:rsid w:val="00005E94"/>
    <w:rsid w:val="00024353"/>
    <w:rsid w:val="000254C9"/>
    <w:rsid w:val="0003091B"/>
    <w:rsid w:val="00033A74"/>
    <w:rsid w:val="00054E22"/>
    <w:rsid w:val="00057542"/>
    <w:rsid w:val="00070584"/>
    <w:rsid w:val="00071380"/>
    <w:rsid w:val="00072EBC"/>
    <w:rsid w:val="000749AC"/>
    <w:rsid w:val="000809C1"/>
    <w:rsid w:val="00080CDE"/>
    <w:rsid w:val="00087E9A"/>
    <w:rsid w:val="00093D13"/>
    <w:rsid w:val="00096F93"/>
    <w:rsid w:val="000C4704"/>
    <w:rsid w:val="000E33E6"/>
    <w:rsid w:val="000E7D92"/>
    <w:rsid w:val="000F5922"/>
    <w:rsid w:val="001119D8"/>
    <w:rsid w:val="001172C4"/>
    <w:rsid w:val="00122F94"/>
    <w:rsid w:val="0012366A"/>
    <w:rsid w:val="00135E4C"/>
    <w:rsid w:val="00150B00"/>
    <w:rsid w:val="0016197F"/>
    <w:rsid w:val="00162EBA"/>
    <w:rsid w:val="001654CC"/>
    <w:rsid w:val="00167027"/>
    <w:rsid w:val="00183356"/>
    <w:rsid w:val="00187C7E"/>
    <w:rsid w:val="001A1CB7"/>
    <w:rsid w:val="001B57AF"/>
    <w:rsid w:val="001B6F5C"/>
    <w:rsid w:val="001D2D81"/>
    <w:rsid w:val="001D690D"/>
    <w:rsid w:val="001E33A0"/>
    <w:rsid w:val="001E366B"/>
    <w:rsid w:val="001E690B"/>
    <w:rsid w:val="001F1483"/>
    <w:rsid w:val="001F6E41"/>
    <w:rsid w:val="001F7840"/>
    <w:rsid w:val="0020207C"/>
    <w:rsid w:val="0020239E"/>
    <w:rsid w:val="00205E45"/>
    <w:rsid w:val="0020749C"/>
    <w:rsid w:val="002100B4"/>
    <w:rsid w:val="00211DA9"/>
    <w:rsid w:val="00220FB4"/>
    <w:rsid w:val="00225207"/>
    <w:rsid w:val="00240D19"/>
    <w:rsid w:val="00252BAD"/>
    <w:rsid w:val="00257E88"/>
    <w:rsid w:val="00274DF0"/>
    <w:rsid w:val="00275BC5"/>
    <w:rsid w:val="00276855"/>
    <w:rsid w:val="00277F18"/>
    <w:rsid w:val="00281C37"/>
    <w:rsid w:val="00285BCC"/>
    <w:rsid w:val="00297D52"/>
    <w:rsid w:val="002A0C18"/>
    <w:rsid w:val="002B1972"/>
    <w:rsid w:val="002B7B34"/>
    <w:rsid w:val="002C178D"/>
    <w:rsid w:val="002C1D67"/>
    <w:rsid w:val="002C3E44"/>
    <w:rsid w:val="002C41E1"/>
    <w:rsid w:val="002C547F"/>
    <w:rsid w:val="002D10FC"/>
    <w:rsid w:val="002D5474"/>
    <w:rsid w:val="002E3922"/>
    <w:rsid w:val="002F3900"/>
    <w:rsid w:val="002F4972"/>
    <w:rsid w:val="003044B1"/>
    <w:rsid w:val="00320839"/>
    <w:rsid w:val="003226D3"/>
    <w:rsid w:val="0033122B"/>
    <w:rsid w:val="00346945"/>
    <w:rsid w:val="00357CEC"/>
    <w:rsid w:val="003646A5"/>
    <w:rsid w:val="00365518"/>
    <w:rsid w:val="00374D07"/>
    <w:rsid w:val="003771F5"/>
    <w:rsid w:val="00392600"/>
    <w:rsid w:val="00393442"/>
    <w:rsid w:val="003A1A9C"/>
    <w:rsid w:val="003B01BB"/>
    <w:rsid w:val="003D5910"/>
    <w:rsid w:val="003D591E"/>
    <w:rsid w:val="003E2E26"/>
    <w:rsid w:val="003E6077"/>
    <w:rsid w:val="0040668B"/>
    <w:rsid w:val="00407091"/>
    <w:rsid w:val="00436951"/>
    <w:rsid w:val="00437282"/>
    <w:rsid w:val="004377D7"/>
    <w:rsid w:val="004409D7"/>
    <w:rsid w:val="00441B04"/>
    <w:rsid w:val="004513DD"/>
    <w:rsid w:val="004525CD"/>
    <w:rsid w:val="00453308"/>
    <w:rsid w:val="0045392B"/>
    <w:rsid w:val="00467062"/>
    <w:rsid w:val="00482A87"/>
    <w:rsid w:val="00483037"/>
    <w:rsid w:val="00486FE5"/>
    <w:rsid w:val="00490B47"/>
    <w:rsid w:val="0049233D"/>
    <w:rsid w:val="004B6510"/>
    <w:rsid w:val="004C3B1A"/>
    <w:rsid w:val="004C5C84"/>
    <w:rsid w:val="004C5DD2"/>
    <w:rsid w:val="004C750F"/>
    <w:rsid w:val="004D2D33"/>
    <w:rsid w:val="004D3586"/>
    <w:rsid w:val="004E614C"/>
    <w:rsid w:val="004E644B"/>
    <w:rsid w:val="004E6942"/>
    <w:rsid w:val="004E6CF1"/>
    <w:rsid w:val="004E7A1F"/>
    <w:rsid w:val="004F3B02"/>
    <w:rsid w:val="004F4634"/>
    <w:rsid w:val="00514C89"/>
    <w:rsid w:val="0051516E"/>
    <w:rsid w:val="00515765"/>
    <w:rsid w:val="00527592"/>
    <w:rsid w:val="005300B3"/>
    <w:rsid w:val="00542BD8"/>
    <w:rsid w:val="0056204F"/>
    <w:rsid w:val="0056515C"/>
    <w:rsid w:val="00565BD4"/>
    <w:rsid w:val="00567055"/>
    <w:rsid w:val="00572732"/>
    <w:rsid w:val="00585660"/>
    <w:rsid w:val="005871E6"/>
    <w:rsid w:val="00595EE8"/>
    <w:rsid w:val="00597F2F"/>
    <w:rsid w:val="005B1213"/>
    <w:rsid w:val="005B28CF"/>
    <w:rsid w:val="005B37ED"/>
    <w:rsid w:val="005C0595"/>
    <w:rsid w:val="005D5F0D"/>
    <w:rsid w:val="005E3003"/>
    <w:rsid w:val="005E523E"/>
    <w:rsid w:val="005E5EE6"/>
    <w:rsid w:val="005E7AC7"/>
    <w:rsid w:val="005F022C"/>
    <w:rsid w:val="00602CD7"/>
    <w:rsid w:val="00602F66"/>
    <w:rsid w:val="006067C7"/>
    <w:rsid w:val="006234A4"/>
    <w:rsid w:val="006525BD"/>
    <w:rsid w:val="00663E5E"/>
    <w:rsid w:val="00676D4D"/>
    <w:rsid w:val="00685CAB"/>
    <w:rsid w:val="0068741B"/>
    <w:rsid w:val="00692F15"/>
    <w:rsid w:val="006A7E8B"/>
    <w:rsid w:val="006B017A"/>
    <w:rsid w:val="006C13C9"/>
    <w:rsid w:val="006D23AD"/>
    <w:rsid w:val="006D3105"/>
    <w:rsid w:val="006F1B51"/>
    <w:rsid w:val="007108FB"/>
    <w:rsid w:val="00711119"/>
    <w:rsid w:val="00711DEA"/>
    <w:rsid w:val="007152ED"/>
    <w:rsid w:val="0072033C"/>
    <w:rsid w:val="00737A89"/>
    <w:rsid w:val="00763586"/>
    <w:rsid w:val="00763D56"/>
    <w:rsid w:val="00767AB7"/>
    <w:rsid w:val="007777B9"/>
    <w:rsid w:val="0077793E"/>
    <w:rsid w:val="00783E63"/>
    <w:rsid w:val="007A1366"/>
    <w:rsid w:val="007A69E6"/>
    <w:rsid w:val="007A6B2B"/>
    <w:rsid w:val="007B1190"/>
    <w:rsid w:val="007B46E6"/>
    <w:rsid w:val="007C085C"/>
    <w:rsid w:val="007C2B7D"/>
    <w:rsid w:val="007C3363"/>
    <w:rsid w:val="007C4B4D"/>
    <w:rsid w:val="007C4FBB"/>
    <w:rsid w:val="007C6154"/>
    <w:rsid w:val="007C6A35"/>
    <w:rsid w:val="007D054F"/>
    <w:rsid w:val="007D1D88"/>
    <w:rsid w:val="007D357F"/>
    <w:rsid w:val="007D5427"/>
    <w:rsid w:val="007E5FD6"/>
    <w:rsid w:val="007E66F7"/>
    <w:rsid w:val="007F1E1E"/>
    <w:rsid w:val="007F634A"/>
    <w:rsid w:val="00800B54"/>
    <w:rsid w:val="008140A6"/>
    <w:rsid w:val="00814849"/>
    <w:rsid w:val="008169B7"/>
    <w:rsid w:val="00820E24"/>
    <w:rsid w:val="00822FEF"/>
    <w:rsid w:val="00835E2E"/>
    <w:rsid w:val="0084102E"/>
    <w:rsid w:val="00846A49"/>
    <w:rsid w:val="00857DA9"/>
    <w:rsid w:val="008649C3"/>
    <w:rsid w:val="00867FF1"/>
    <w:rsid w:val="00897030"/>
    <w:rsid w:val="008A15F4"/>
    <w:rsid w:val="008A48D7"/>
    <w:rsid w:val="008B242C"/>
    <w:rsid w:val="008C08CC"/>
    <w:rsid w:val="008C0938"/>
    <w:rsid w:val="008C35D0"/>
    <w:rsid w:val="008D6CB1"/>
    <w:rsid w:val="008F08DA"/>
    <w:rsid w:val="008F14D9"/>
    <w:rsid w:val="00904D1E"/>
    <w:rsid w:val="00905719"/>
    <w:rsid w:val="00934A18"/>
    <w:rsid w:val="009353A4"/>
    <w:rsid w:val="00945BD5"/>
    <w:rsid w:val="00947D07"/>
    <w:rsid w:val="009518B6"/>
    <w:rsid w:val="0095476F"/>
    <w:rsid w:val="00960453"/>
    <w:rsid w:val="00990CC6"/>
    <w:rsid w:val="009A32A1"/>
    <w:rsid w:val="009B158C"/>
    <w:rsid w:val="009B6D7B"/>
    <w:rsid w:val="009C0A10"/>
    <w:rsid w:val="009C600D"/>
    <w:rsid w:val="009C6C8A"/>
    <w:rsid w:val="009D7F11"/>
    <w:rsid w:val="009E0E9E"/>
    <w:rsid w:val="009E3C19"/>
    <w:rsid w:val="009E5B2D"/>
    <w:rsid w:val="009E7B46"/>
    <w:rsid w:val="009F41B1"/>
    <w:rsid w:val="009F5423"/>
    <w:rsid w:val="009F7DC0"/>
    <w:rsid w:val="00A010EB"/>
    <w:rsid w:val="00A10401"/>
    <w:rsid w:val="00A16234"/>
    <w:rsid w:val="00A169B3"/>
    <w:rsid w:val="00A21FBC"/>
    <w:rsid w:val="00A27E89"/>
    <w:rsid w:val="00A3029B"/>
    <w:rsid w:val="00A33B6B"/>
    <w:rsid w:val="00A358B3"/>
    <w:rsid w:val="00A402B2"/>
    <w:rsid w:val="00A410F1"/>
    <w:rsid w:val="00A50BE4"/>
    <w:rsid w:val="00A60FEC"/>
    <w:rsid w:val="00A64827"/>
    <w:rsid w:val="00A6568B"/>
    <w:rsid w:val="00A67016"/>
    <w:rsid w:val="00A73D00"/>
    <w:rsid w:val="00A804DD"/>
    <w:rsid w:val="00A83C28"/>
    <w:rsid w:val="00A95642"/>
    <w:rsid w:val="00AB4B01"/>
    <w:rsid w:val="00AC7DA3"/>
    <w:rsid w:val="00AD38C0"/>
    <w:rsid w:val="00B016E9"/>
    <w:rsid w:val="00B03095"/>
    <w:rsid w:val="00B048C8"/>
    <w:rsid w:val="00B12DAA"/>
    <w:rsid w:val="00B2021D"/>
    <w:rsid w:val="00B25D36"/>
    <w:rsid w:val="00B27A5B"/>
    <w:rsid w:val="00B34218"/>
    <w:rsid w:val="00B449D5"/>
    <w:rsid w:val="00B52C41"/>
    <w:rsid w:val="00B55010"/>
    <w:rsid w:val="00B6217C"/>
    <w:rsid w:val="00B62742"/>
    <w:rsid w:val="00B63344"/>
    <w:rsid w:val="00B6366B"/>
    <w:rsid w:val="00B722A5"/>
    <w:rsid w:val="00B77A9E"/>
    <w:rsid w:val="00B929D2"/>
    <w:rsid w:val="00B966F3"/>
    <w:rsid w:val="00B97774"/>
    <w:rsid w:val="00BA1DC8"/>
    <w:rsid w:val="00BA2F4F"/>
    <w:rsid w:val="00BB100E"/>
    <w:rsid w:val="00BB1BEA"/>
    <w:rsid w:val="00BC5BB3"/>
    <w:rsid w:val="00BD0320"/>
    <w:rsid w:val="00BD2228"/>
    <w:rsid w:val="00BD2F0D"/>
    <w:rsid w:val="00BD39E4"/>
    <w:rsid w:val="00BD4BDC"/>
    <w:rsid w:val="00BE0526"/>
    <w:rsid w:val="00BE16E8"/>
    <w:rsid w:val="00BE4039"/>
    <w:rsid w:val="00BF1F14"/>
    <w:rsid w:val="00C12226"/>
    <w:rsid w:val="00C13F69"/>
    <w:rsid w:val="00C224C3"/>
    <w:rsid w:val="00C313C1"/>
    <w:rsid w:val="00C64682"/>
    <w:rsid w:val="00C66B2E"/>
    <w:rsid w:val="00C8174E"/>
    <w:rsid w:val="00C821EF"/>
    <w:rsid w:val="00C85753"/>
    <w:rsid w:val="00CA33C2"/>
    <w:rsid w:val="00CA4195"/>
    <w:rsid w:val="00CA70B0"/>
    <w:rsid w:val="00CB40ED"/>
    <w:rsid w:val="00CC17BB"/>
    <w:rsid w:val="00CC23FD"/>
    <w:rsid w:val="00CC5959"/>
    <w:rsid w:val="00CC66BA"/>
    <w:rsid w:val="00CC7411"/>
    <w:rsid w:val="00CC78A2"/>
    <w:rsid w:val="00CD32BD"/>
    <w:rsid w:val="00CD387F"/>
    <w:rsid w:val="00CE0C66"/>
    <w:rsid w:val="00CE301E"/>
    <w:rsid w:val="00CE4245"/>
    <w:rsid w:val="00D0269C"/>
    <w:rsid w:val="00D04A08"/>
    <w:rsid w:val="00D10E32"/>
    <w:rsid w:val="00D3106D"/>
    <w:rsid w:val="00D3202B"/>
    <w:rsid w:val="00D335F7"/>
    <w:rsid w:val="00D46CD7"/>
    <w:rsid w:val="00D52B85"/>
    <w:rsid w:val="00D5332C"/>
    <w:rsid w:val="00D63EF7"/>
    <w:rsid w:val="00D64E55"/>
    <w:rsid w:val="00D65FE8"/>
    <w:rsid w:val="00D811C3"/>
    <w:rsid w:val="00DA4B49"/>
    <w:rsid w:val="00DA55A6"/>
    <w:rsid w:val="00DA5EFF"/>
    <w:rsid w:val="00DA6E00"/>
    <w:rsid w:val="00DA79FD"/>
    <w:rsid w:val="00DB1495"/>
    <w:rsid w:val="00DB1D33"/>
    <w:rsid w:val="00DB4CC8"/>
    <w:rsid w:val="00DB7994"/>
    <w:rsid w:val="00DE0E83"/>
    <w:rsid w:val="00E15524"/>
    <w:rsid w:val="00E16588"/>
    <w:rsid w:val="00E256AF"/>
    <w:rsid w:val="00E31749"/>
    <w:rsid w:val="00E31CAA"/>
    <w:rsid w:val="00E41C8B"/>
    <w:rsid w:val="00E43991"/>
    <w:rsid w:val="00E43E3E"/>
    <w:rsid w:val="00E44DAD"/>
    <w:rsid w:val="00E45855"/>
    <w:rsid w:val="00E5349A"/>
    <w:rsid w:val="00E62691"/>
    <w:rsid w:val="00E71500"/>
    <w:rsid w:val="00E728DC"/>
    <w:rsid w:val="00E7640A"/>
    <w:rsid w:val="00E85F15"/>
    <w:rsid w:val="00EA2C22"/>
    <w:rsid w:val="00EB2CB2"/>
    <w:rsid w:val="00EB2DD0"/>
    <w:rsid w:val="00EB33E2"/>
    <w:rsid w:val="00EC05FC"/>
    <w:rsid w:val="00F27089"/>
    <w:rsid w:val="00F4057A"/>
    <w:rsid w:val="00F70D64"/>
    <w:rsid w:val="00F8246D"/>
    <w:rsid w:val="00F950B4"/>
    <w:rsid w:val="00F95ECC"/>
    <w:rsid w:val="00FC28F0"/>
    <w:rsid w:val="00FD54D2"/>
    <w:rsid w:val="00FE501F"/>
    <w:rsid w:val="00FE6BD6"/>
    <w:rsid w:val="00FF0D8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AADB"/>
  <w15:docId w15:val="{1F2E2AB8-0619-4EBD-AC10-C695061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F0"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1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547F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47F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2228"/>
    <w:pPr>
      <w:spacing w:before="100" w:beforeAutospacing="1" w:after="100" w:afterAutospacing="1"/>
      <w:outlineLvl w:val="4"/>
    </w:pPr>
    <w:rPr>
      <w:b/>
      <w:bCs/>
      <w:color w:val="auto"/>
      <w:kern w:val="0"/>
      <w:lang w:eastAsia="ru-RU"/>
    </w:rPr>
  </w:style>
  <w:style w:type="paragraph" w:styleId="6">
    <w:name w:val="heading 6"/>
    <w:basedOn w:val="a"/>
    <w:link w:val="60"/>
    <w:uiPriority w:val="9"/>
    <w:qFormat/>
    <w:rsid w:val="00BD2228"/>
    <w:pPr>
      <w:spacing w:before="100" w:beforeAutospacing="1" w:after="100" w:afterAutospacing="1"/>
      <w:outlineLvl w:val="5"/>
    </w:pPr>
    <w:rPr>
      <w:b/>
      <w:bCs/>
      <w:color w:val="auto"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47F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47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styleId="a7">
    <w:name w:val="Hyperlink"/>
    <w:basedOn w:val="a0"/>
    <w:uiPriority w:val="99"/>
    <w:unhideWhenUsed/>
    <w:rsid w:val="002C547F"/>
    <w:rPr>
      <w:color w:val="0000FF"/>
      <w:u w:val="single"/>
    </w:rPr>
  </w:style>
  <w:style w:type="paragraph" w:customStyle="1" w:styleId="toleft">
    <w:name w:val="tolef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54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a9">
    <w:name w:val="Table Grid"/>
    <w:basedOn w:val="a1"/>
    <w:uiPriority w:val="39"/>
    <w:rsid w:val="002C54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C54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C547F"/>
  </w:style>
  <w:style w:type="character" w:customStyle="1" w:styleId="aa">
    <w:name w:val="Основной текст Знак"/>
    <w:basedOn w:val="a0"/>
    <w:link w:val="ab"/>
    <w:uiPriority w:val="99"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C547F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C547F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C547F"/>
    <w:rPr>
      <w:rFonts w:ascii="Tahoma" w:eastAsiaTheme="minorHAnsi" w:hAnsi="Tahoma" w:cs="Tahoma"/>
      <w:color w:val="auto"/>
      <w:kern w:val="0"/>
      <w:sz w:val="16"/>
      <w:szCs w:val="16"/>
    </w:rPr>
  </w:style>
  <w:style w:type="paragraph" w:customStyle="1" w:styleId="FORMATTEXT">
    <w:name w:val=".FORMAT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2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2C547F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C5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headertext0">
    <w:name w:val="header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formattext0">
    <w:name w:val="format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msonormal0">
    <w:name w:val="msonormal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center">
    <w:name w:val="pcenter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547F"/>
    <w:rPr>
      <w:rFonts w:ascii="Courier New" w:eastAsia="Times New Roman" w:hAnsi="Courier New" w:cs="Courier New"/>
      <w:lang w:eastAsia="ru-RU"/>
    </w:rPr>
  </w:style>
  <w:style w:type="paragraph" w:customStyle="1" w:styleId="pboth">
    <w:name w:val="pbot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pright">
    <w:name w:val="prigh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ConsPlusCell">
    <w:name w:val="ConsPlusCell"/>
    <w:rsid w:val="002C547F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character" w:styleId="ae">
    <w:name w:val="Emphasis"/>
    <w:basedOn w:val="a0"/>
    <w:uiPriority w:val="20"/>
    <w:qFormat/>
    <w:rsid w:val="002C547F"/>
    <w:rPr>
      <w:i/>
      <w:iCs/>
    </w:rPr>
  </w:style>
  <w:style w:type="character" w:styleId="af">
    <w:name w:val="Strong"/>
    <w:basedOn w:val="a0"/>
    <w:uiPriority w:val="22"/>
    <w:qFormat/>
    <w:rsid w:val="002C547F"/>
    <w:rPr>
      <w:b/>
      <w:bCs/>
    </w:rPr>
  </w:style>
  <w:style w:type="paragraph" w:customStyle="1" w:styleId="paragraph">
    <w:name w:val="paragraph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customStyle="1" w:styleId="text">
    <w:name w:val="text"/>
    <w:basedOn w:val="a"/>
    <w:rsid w:val="002C547F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uiPriority w:val="99"/>
    <w:rsid w:val="002C547F"/>
    <w:rPr>
      <w:rFonts w:ascii="Times New Roman" w:hAnsi="Times New Roman"/>
    </w:rPr>
  </w:style>
  <w:style w:type="paragraph" w:customStyle="1" w:styleId="24">
    <w:name w:val="Колонтитул (2)"/>
    <w:basedOn w:val="a"/>
    <w:link w:val="23"/>
    <w:uiPriority w:val="99"/>
    <w:rsid w:val="002C547F"/>
    <w:pPr>
      <w:widowControl w:val="0"/>
    </w:pPr>
    <w:rPr>
      <w:rFonts w:eastAsia="Calibri"/>
      <w:color w:val="auto"/>
      <w:kern w:val="0"/>
    </w:rPr>
  </w:style>
  <w:style w:type="paragraph" w:styleId="af0">
    <w:name w:val="Normal (Web)"/>
    <w:basedOn w:val="a"/>
    <w:uiPriority w:val="99"/>
    <w:unhideWhenUsed/>
    <w:qFormat/>
    <w:rsid w:val="00846A49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228"/>
    <w:rPr>
      <w:rFonts w:ascii="Times New Roman" w:eastAsia="Times New Roman" w:hAnsi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228"/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af1">
    <w:name w:val="No Spacing"/>
    <w:link w:val="af2"/>
    <w:uiPriority w:val="1"/>
    <w:qFormat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BD222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Основной текст_"/>
    <w:basedOn w:val="a0"/>
    <w:link w:val="11"/>
    <w:rsid w:val="00BD2228"/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f3"/>
    <w:rsid w:val="00BD2228"/>
    <w:pPr>
      <w:widowControl w:val="0"/>
      <w:ind w:firstLine="280"/>
    </w:pPr>
    <w:rPr>
      <w:rFonts w:ascii="Arial" w:eastAsia="Arial" w:hAnsi="Arial" w:cs="Arial"/>
      <w:color w:val="auto"/>
      <w:kern w:val="0"/>
      <w:sz w:val="18"/>
      <w:szCs w:val="18"/>
    </w:rPr>
  </w:style>
  <w:style w:type="character" w:customStyle="1" w:styleId="25">
    <w:name w:val="Основной текст (2)_"/>
    <w:basedOn w:val="a0"/>
    <w:link w:val="26"/>
    <w:rsid w:val="00BD2228"/>
    <w:rPr>
      <w:rFonts w:ascii="Arial" w:eastAsia="Arial" w:hAnsi="Arial" w:cs="Arial"/>
      <w:b/>
      <w:bCs/>
      <w:sz w:val="19"/>
      <w:szCs w:val="19"/>
    </w:rPr>
  </w:style>
  <w:style w:type="character" w:customStyle="1" w:styleId="af4">
    <w:name w:val="Подпись к картинке_"/>
    <w:basedOn w:val="a0"/>
    <w:link w:val="af5"/>
    <w:rsid w:val="00BD2228"/>
    <w:rPr>
      <w:rFonts w:ascii="Arial" w:eastAsia="Arial" w:hAnsi="Arial" w:cs="Arial"/>
      <w:b/>
      <w:bCs/>
      <w:sz w:val="14"/>
      <w:szCs w:val="14"/>
    </w:rPr>
  </w:style>
  <w:style w:type="paragraph" w:customStyle="1" w:styleId="26">
    <w:name w:val="Основной текст (2)"/>
    <w:basedOn w:val="a"/>
    <w:link w:val="25"/>
    <w:rsid w:val="00BD2228"/>
    <w:pPr>
      <w:widowControl w:val="0"/>
    </w:pPr>
    <w:rPr>
      <w:rFonts w:ascii="Arial" w:eastAsia="Arial" w:hAnsi="Arial" w:cs="Arial"/>
      <w:b/>
      <w:bCs/>
      <w:color w:val="auto"/>
      <w:kern w:val="0"/>
      <w:sz w:val="19"/>
      <w:szCs w:val="19"/>
    </w:rPr>
  </w:style>
  <w:style w:type="paragraph" w:customStyle="1" w:styleId="af5">
    <w:name w:val="Подпись к картинке"/>
    <w:basedOn w:val="a"/>
    <w:link w:val="af4"/>
    <w:rsid w:val="00BD2228"/>
    <w:pPr>
      <w:widowControl w:val="0"/>
      <w:jc w:val="center"/>
    </w:pPr>
    <w:rPr>
      <w:rFonts w:ascii="Arial" w:eastAsia="Arial" w:hAnsi="Arial" w:cs="Arial"/>
      <w:b/>
      <w:bCs/>
      <w:color w:val="auto"/>
      <w:kern w:val="0"/>
      <w:sz w:val="14"/>
      <w:szCs w:val="14"/>
    </w:rPr>
  </w:style>
  <w:style w:type="paragraph" w:customStyle="1" w:styleId="COLBOTTOM">
    <w:name w:val="#COL_BOTTOM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BODY">
    <w:name w:val="BODY"/>
    <w:uiPriority w:val="99"/>
    <w:rsid w:val="00B977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TML1">
    <w:name w:val="HTML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B9777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8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6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7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80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8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8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9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0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&#1055;&#1083;&#1072;&#1082;&#1072;&#1090;%20&#1089;%20&#1086;&#1073;&#1098;&#1077;&#1082;&#1090;&#1086;&#1084;%20&#1085;&#1077;&#1076;&#1074;&#1080;&#1078;&#1080;&#1084;&#1086;&#1089;&#1090;&#1080;%20(&#1075;&#1086;&#1088;&#1080;&#1079;&#1086;&#1085;&#1090;&#1072;&#1083;&#1100;&#1085;&#1099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Плакат с объектом недвижимости (горизонтальный)</Template>
  <TotalTime>0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Виктор Чудов</cp:lastModifiedBy>
  <cp:revision>201</cp:revision>
  <cp:lastPrinted>2022-11-24T11:27:00Z</cp:lastPrinted>
  <dcterms:created xsi:type="dcterms:W3CDTF">2023-03-13T05:35:00Z</dcterms:created>
  <dcterms:modified xsi:type="dcterms:W3CDTF">2024-03-04T06:31:00Z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